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1A82" w14:textId="5AB43A28" w:rsidR="00686EA8" w:rsidRDefault="00473327" w:rsidP="00686EA8">
      <w:pPr>
        <w:textAlignment w:val="baseline"/>
        <w:rPr>
          <w:rFonts w:ascii="Times New Roman" w:eastAsia="Times New Roman" w:hAnsi="Times New Roman" w:cs="Times New Roman"/>
          <w:color w:val="242424"/>
          <w:kern w:val="0"/>
          <w:bdr w:val="none" w:sz="0" w:space="0" w:color="auto" w:frame="1"/>
          <w14:ligatures w14:val="none"/>
        </w:rPr>
      </w:pPr>
      <w:r w:rsidRPr="00473327">
        <w:rPr>
          <w:rFonts w:ascii="Times New Roman" w:eastAsia="Times New Roman" w:hAnsi="Times New Roman" w:cs="Times New Roman"/>
          <w:color w:val="242424"/>
          <w:kern w:val="0"/>
          <w:bdr w:val="none" w:sz="0" w:space="0" w:color="auto" w:frame="1"/>
          <w14:ligatures w14:val="none"/>
        </w:rPr>
        <w:t xml:space="preserve">Bartlett, Cheryl &amp; Marshall, </w:t>
      </w:r>
      <w:proofErr w:type="spellStart"/>
      <w:r w:rsidRPr="00473327">
        <w:rPr>
          <w:rFonts w:ascii="Times New Roman" w:eastAsia="Times New Roman" w:hAnsi="Times New Roman" w:cs="Times New Roman"/>
          <w:color w:val="242424"/>
          <w:kern w:val="0"/>
          <w:bdr w:val="none" w:sz="0" w:space="0" w:color="auto" w:frame="1"/>
          <w14:ligatures w14:val="none"/>
        </w:rPr>
        <w:t>Murdena</w:t>
      </w:r>
      <w:proofErr w:type="spellEnd"/>
      <w:r w:rsidRPr="00473327">
        <w:rPr>
          <w:rFonts w:ascii="Times New Roman" w:eastAsia="Times New Roman" w:hAnsi="Times New Roman" w:cs="Times New Roman"/>
          <w:color w:val="242424"/>
          <w:kern w:val="0"/>
          <w:bdr w:val="none" w:sz="0" w:space="0" w:color="auto" w:frame="1"/>
          <w14:ligatures w14:val="none"/>
        </w:rPr>
        <w:t xml:space="preserve"> &amp; Marshall, Albert. (2012). Two-Eyed Seeing and other lessons learned within a co-learning journey of bringing together indigenous and mainstream knowledges and ways of knowing. </w:t>
      </w:r>
      <w:r w:rsidRPr="00C162C4">
        <w:rPr>
          <w:rFonts w:ascii="Times New Roman" w:eastAsia="Times New Roman" w:hAnsi="Times New Roman" w:cs="Times New Roman"/>
          <w:i/>
          <w:iCs/>
          <w:color w:val="242424"/>
          <w:kern w:val="0"/>
          <w:bdr w:val="none" w:sz="0" w:space="0" w:color="auto" w:frame="1"/>
          <w14:ligatures w14:val="none"/>
        </w:rPr>
        <w:t>Journal of Environmental Studies and Sciences</w:t>
      </w:r>
      <w:r w:rsidRPr="00473327">
        <w:rPr>
          <w:rFonts w:ascii="Times New Roman" w:eastAsia="Times New Roman" w:hAnsi="Times New Roman" w:cs="Times New Roman"/>
          <w:color w:val="242424"/>
          <w:kern w:val="0"/>
          <w:bdr w:val="none" w:sz="0" w:space="0" w:color="auto" w:frame="1"/>
          <w14:ligatures w14:val="none"/>
        </w:rPr>
        <w:t>. 2. 10.1007/s13412-012-0086-8.</w:t>
      </w:r>
    </w:p>
    <w:p w14:paraId="6D5589A5" w14:textId="77777777" w:rsidR="00C162C4" w:rsidRPr="00686EA8" w:rsidRDefault="00C162C4" w:rsidP="00686EA8">
      <w:pPr>
        <w:textAlignment w:val="baseline"/>
        <w:rPr>
          <w:rFonts w:ascii="Times New Roman" w:eastAsia="Times New Roman" w:hAnsi="Times New Roman" w:cs="Times New Roman"/>
          <w:color w:val="242424"/>
          <w:kern w:val="0"/>
          <w:bdr w:val="none" w:sz="0" w:space="0" w:color="auto" w:frame="1"/>
          <w14:ligatures w14:val="none"/>
        </w:rPr>
      </w:pPr>
    </w:p>
    <w:p w14:paraId="41EBDB26"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r w:rsidRPr="00686EA8">
        <w:rPr>
          <w:rFonts w:ascii="Times New Roman" w:eastAsia="Times New Roman" w:hAnsi="Times New Roman" w:cs="Times New Roman"/>
          <w:color w:val="242424"/>
          <w:kern w:val="0"/>
          <w:bdr w:val="none" w:sz="0" w:space="0" w:color="auto" w:frame="1"/>
          <w14:ligatures w14:val="none"/>
        </w:rPr>
        <w:t>This article introduces "Two-Eyed Seeing" as a framework for integrating Indigenous and Western knowledge systems. The authors emphasize the need for respectful co-learning and collaboration, advocating for a balance between both epistemologies in environmental studies.</w:t>
      </w:r>
    </w:p>
    <w:p w14:paraId="10430644"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p>
    <w:p w14:paraId="765420C9"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r w:rsidRPr="00686EA8">
        <w:rPr>
          <w:rFonts w:ascii="Times New Roman" w:eastAsia="Times New Roman" w:hAnsi="Times New Roman" w:cs="Times New Roman"/>
          <w:color w:val="242424"/>
          <w:kern w:val="0"/>
          <w:bdr w:val="none" w:sz="0" w:space="0" w:color="auto" w:frame="1"/>
          <w14:ligatures w14:val="none"/>
        </w:rPr>
        <w:t>Key themes include knowledge integration, co-learning, decolonization, and relationality. Grounded in Indigenous epistemology, particularly the Mi’kmaq concept of Two-Eyed Seeing, the article promotes a holistic approach to environmental sciences.</w:t>
      </w:r>
    </w:p>
    <w:p w14:paraId="147AC72B"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p>
    <w:p w14:paraId="453771BF"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r w:rsidRPr="00686EA8">
        <w:rPr>
          <w:rFonts w:ascii="Times New Roman" w:eastAsia="Times New Roman" w:hAnsi="Times New Roman" w:cs="Times New Roman"/>
          <w:color w:val="242424"/>
          <w:kern w:val="0"/>
          <w:bdr w:val="none" w:sz="0" w:space="0" w:color="auto" w:frame="1"/>
          <w14:ligatures w14:val="none"/>
        </w:rPr>
        <w:t>Rather than using traditional research methods, the authors adopt a reflective approach based on lived experiences, case studies, and community engagement. Their findings highlight the importance of mutual respect and how Indigenous knowledge contributes to environmental sustainability.</w:t>
      </w:r>
    </w:p>
    <w:p w14:paraId="7B137DE8"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p>
    <w:p w14:paraId="35D21F19"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r w:rsidRPr="00686EA8">
        <w:rPr>
          <w:rFonts w:ascii="Times New Roman" w:eastAsia="Times New Roman" w:hAnsi="Times New Roman" w:cs="Times New Roman"/>
          <w:color w:val="242424"/>
          <w:kern w:val="0"/>
          <w:bdr w:val="none" w:sz="0" w:space="0" w:color="auto" w:frame="1"/>
          <w14:ligatures w14:val="none"/>
        </w:rPr>
        <w:t>However, the article lacks empirical validation, systematic case studies, and discussions on institutional implementation. Future research should focus on measuring the impact of Two-Eyed Seeing in education, environmental sciences, and policy frameworks.</w:t>
      </w:r>
    </w:p>
    <w:p w14:paraId="58FFD89F"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p>
    <w:p w14:paraId="6A264418" w14:textId="6A9CAD9C"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r w:rsidRPr="00686EA8">
        <w:rPr>
          <w:rFonts w:ascii="Times New Roman" w:eastAsia="Times New Roman" w:hAnsi="Times New Roman" w:cs="Times New Roman"/>
          <w:color w:val="242424"/>
          <w:kern w:val="0"/>
          <w:bdr w:val="none" w:sz="0" w:space="0" w:color="auto" w:frame="1"/>
          <w14:ligatures w14:val="none"/>
        </w:rPr>
        <w:t xml:space="preserve">The article aligns with seminal works like Berkes’ </w:t>
      </w:r>
      <w:r w:rsidRPr="002A5F28">
        <w:rPr>
          <w:rFonts w:ascii="Times New Roman" w:eastAsia="Times New Roman" w:hAnsi="Times New Roman" w:cs="Times New Roman"/>
          <w:i/>
          <w:iCs/>
          <w:color w:val="242424"/>
          <w:kern w:val="0"/>
          <w:bdr w:val="none" w:sz="0" w:space="0" w:color="auto" w:frame="1"/>
          <w14:ligatures w14:val="none"/>
        </w:rPr>
        <w:t>Sacred Ecology</w:t>
      </w:r>
      <w:r w:rsidRPr="00686EA8">
        <w:rPr>
          <w:rFonts w:ascii="Times New Roman" w:eastAsia="Times New Roman" w:hAnsi="Times New Roman" w:cs="Times New Roman"/>
          <w:color w:val="242424"/>
          <w:kern w:val="0"/>
          <w:bdr w:val="none" w:sz="0" w:space="0" w:color="auto" w:frame="1"/>
          <w14:ligatures w14:val="none"/>
        </w:rPr>
        <w:t xml:space="preserve">, Smith’s </w:t>
      </w:r>
      <w:r w:rsidRPr="002A5F28">
        <w:rPr>
          <w:rFonts w:ascii="Times New Roman" w:eastAsia="Times New Roman" w:hAnsi="Times New Roman" w:cs="Times New Roman"/>
          <w:i/>
          <w:iCs/>
          <w:color w:val="242424"/>
          <w:kern w:val="0"/>
          <w:bdr w:val="none" w:sz="0" w:space="0" w:color="auto" w:frame="1"/>
          <w14:ligatures w14:val="none"/>
        </w:rPr>
        <w:t>Decolonizing Methodologies</w:t>
      </w:r>
      <w:r w:rsidRPr="00686EA8">
        <w:rPr>
          <w:rFonts w:ascii="Times New Roman" w:eastAsia="Times New Roman" w:hAnsi="Times New Roman" w:cs="Times New Roman"/>
          <w:color w:val="242424"/>
          <w:kern w:val="0"/>
          <w:bdr w:val="none" w:sz="0" w:space="0" w:color="auto" w:frame="1"/>
          <w14:ligatures w14:val="none"/>
        </w:rPr>
        <w:t xml:space="preserve">, and </w:t>
      </w:r>
      <w:proofErr w:type="spellStart"/>
      <w:r w:rsidRPr="00686EA8">
        <w:rPr>
          <w:rFonts w:ascii="Times New Roman" w:eastAsia="Times New Roman" w:hAnsi="Times New Roman" w:cs="Times New Roman"/>
          <w:color w:val="242424"/>
          <w:kern w:val="0"/>
          <w:bdr w:val="none" w:sz="0" w:space="0" w:color="auto" w:frame="1"/>
          <w14:ligatures w14:val="none"/>
        </w:rPr>
        <w:t>Cajete’s</w:t>
      </w:r>
      <w:proofErr w:type="spellEnd"/>
      <w:r w:rsidRPr="00686EA8">
        <w:rPr>
          <w:rFonts w:ascii="Times New Roman" w:eastAsia="Times New Roman" w:hAnsi="Times New Roman" w:cs="Times New Roman"/>
          <w:color w:val="242424"/>
          <w:kern w:val="0"/>
          <w:bdr w:val="none" w:sz="0" w:space="0" w:color="auto" w:frame="1"/>
          <w14:ligatures w14:val="none"/>
        </w:rPr>
        <w:t xml:space="preserve"> </w:t>
      </w:r>
      <w:r w:rsidRPr="002A5F28">
        <w:rPr>
          <w:rFonts w:ascii="Times New Roman" w:eastAsia="Times New Roman" w:hAnsi="Times New Roman" w:cs="Times New Roman"/>
          <w:i/>
          <w:iCs/>
          <w:color w:val="242424"/>
          <w:kern w:val="0"/>
          <w:bdr w:val="none" w:sz="0" w:space="0" w:color="auto" w:frame="1"/>
          <w14:ligatures w14:val="none"/>
        </w:rPr>
        <w:t>Look to the Mountain</w:t>
      </w:r>
      <w:r w:rsidRPr="00686EA8">
        <w:rPr>
          <w:rFonts w:ascii="Times New Roman" w:eastAsia="Times New Roman" w:hAnsi="Times New Roman" w:cs="Times New Roman"/>
          <w:color w:val="242424"/>
          <w:kern w:val="0"/>
          <w:bdr w:val="none" w:sz="0" w:space="0" w:color="auto" w:frame="1"/>
          <w14:ligatures w14:val="none"/>
        </w:rPr>
        <w:t xml:space="preserve">, all of which explore Indigenous knowledge integration. Further reading includes Kovach’s </w:t>
      </w:r>
      <w:r w:rsidRPr="00036259">
        <w:rPr>
          <w:rFonts w:ascii="Times New Roman" w:eastAsia="Times New Roman" w:hAnsi="Times New Roman" w:cs="Times New Roman"/>
          <w:i/>
          <w:iCs/>
          <w:color w:val="242424"/>
          <w:kern w:val="0"/>
          <w:bdr w:val="none" w:sz="0" w:space="0" w:color="auto" w:frame="1"/>
          <w14:ligatures w14:val="none"/>
        </w:rPr>
        <w:t>Indigenous Methodologies</w:t>
      </w:r>
      <w:r w:rsidRPr="00686EA8">
        <w:rPr>
          <w:rFonts w:ascii="Times New Roman" w:eastAsia="Times New Roman" w:hAnsi="Times New Roman" w:cs="Times New Roman"/>
          <w:color w:val="242424"/>
          <w:kern w:val="0"/>
          <w:bdr w:val="none" w:sz="0" w:space="0" w:color="auto" w:frame="1"/>
          <w14:ligatures w14:val="none"/>
        </w:rPr>
        <w:t xml:space="preserve"> and McGregor’s </w:t>
      </w:r>
      <w:r w:rsidRPr="00036259">
        <w:rPr>
          <w:rFonts w:ascii="Times New Roman" w:eastAsia="Times New Roman" w:hAnsi="Times New Roman" w:cs="Times New Roman"/>
          <w:i/>
          <w:iCs/>
          <w:color w:val="242424"/>
          <w:kern w:val="0"/>
          <w:bdr w:val="none" w:sz="0" w:space="0" w:color="auto" w:frame="1"/>
          <w14:ligatures w14:val="none"/>
        </w:rPr>
        <w:t>Coming Full Circle</w:t>
      </w:r>
      <w:r w:rsidRPr="00686EA8">
        <w:rPr>
          <w:rFonts w:ascii="Times New Roman" w:eastAsia="Times New Roman" w:hAnsi="Times New Roman" w:cs="Times New Roman"/>
          <w:color w:val="242424"/>
          <w:kern w:val="0"/>
          <w:bdr w:val="none" w:sz="0" w:space="0" w:color="auto" w:frame="1"/>
          <w14:ligatures w14:val="none"/>
        </w:rPr>
        <w:t>, which provide deeper insights into Indigenous research and environmental perspectives.</w:t>
      </w:r>
    </w:p>
    <w:p w14:paraId="590F41FB"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p>
    <w:p w14:paraId="39631E4A" w14:textId="77777777" w:rsidR="00686EA8" w:rsidRPr="00686EA8" w:rsidRDefault="00686EA8" w:rsidP="00686EA8">
      <w:pPr>
        <w:textAlignment w:val="baseline"/>
        <w:rPr>
          <w:rFonts w:ascii="Times New Roman" w:eastAsia="Times New Roman" w:hAnsi="Times New Roman" w:cs="Times New Roman"/>
          <w:color w:val="242424"/>
          <w:kern w:val="0"/>
          <w:bdr w:val="none" w:sz="0" w:space="0" w:color="auto" w:frame="1"/>
          <w14:ligatures w14:val="none"/>
        </w:rPr>
      </w:pPr>
      <w:r w:rsidRPr="00686EA8">
        <w:rPr>
          <w:rFonts w:ascii="Times New Roman" w:eastAsia="Times New Roman" w:hAnsi="Times New Roman" w:cs="Times New Roman"/>
          <w:color w:val="242424"/>
          <w:kern w:val="0"/>
          <w:bdr w:val="none" w:sz="0" w:space="0" w:color="auto" w:frame="1"/>
          <w14:ligatures w14:val="none"/>
        </w:rPr>
        <w:t>Overall, this article is a valuable contribution to knowledge integration, but further empirical research is needed to enhance its practical application.</w:t>
      </w:r>
    </w:p>
    <w:p w14:paraId="79BE595E" w14:textId="77777777" w:rsidR="008204A4" w:rsidRPr="008204A4" w:rsidRDefault="008204A4" w:rsidP="008204A4">
      <w:pPr>
        <w:textAlignment w:val="baseline"/>
        <w:rPr>
          <w:rFonts w:ascii="Times New Roman" w:eastAsia="Times New Roman" w:hAnsi="Times New Roman" w:cs="Times New Roman"/>
          <w:color w:val="242424"/>
          <w:kern w:val="0"/>
          <w14:ligatures w14:val="none"/>
        </w:rPr>
      </w:pPr>
    </w:p>
    <w:p w14:paraId="2885FF04" w14:textId="236D37CD" w:rsidR="00B913B1" w:rsidRPr="00492B14" w:rsidRDefault="008204A4" w:rsidP="00492B14">
      <w:pPr>
        <w:textAlignment w:val="baseline"/>
        <w:rPr>
          <w:rFonts w:ascii="Times New Roman" w:eastAsia="Times New Roman" w:hAnsi="Times New Roman" w:cs="Times New Roman"/>
          <w:color w:val="242424"/>
          <w:kern w:val="0"/>
          <w:bdr w:val="none" w:sz="0" w:space="0" w:color="auto" w:frame="1"/>
          <w14:ligatures w14:val="none"/>
        </w:rPr>
      </w:pPr>
      <w:r w:rsidRPr="00C162C4">
        <w:rPr>
          <w:rFonts w:ascii="Times New Roman" w:eastAsia="Times New Roman" w:hAnsi="Times New Roman" w:cs="Times New Roman"/>
          <w:color w:val="242424"/>
          <w:kern w:val="0"/>
          <w:sz w:val="15"/>
          <w:szCs w:val="15"/>
          <w:bdr w:val="none" w:sz="0" w:space="0" w:color="auto" w:frame="1"/>
          <w14:ligatures w14:val="none"/>
        </w:rPr>
        <w:t> </w:t>
      </w:r>
      <w:proofErr w:type="spellStart"/>
      <w:r w:rsidRPr="00C162C4">
        <w:rPr>
          <w:rFonts w:ascii="Times New Roman" w:eastAsia="Times New Roman" w:hAnsi="Times New Roman" w:cs="Times New Roman"/>
          <w:color w:val="242424"/>
          <w:kern w:val="0"/>
          <w:bdr w:val="none" w:sz="0" w:space="0" w:color="auto" w:frame="1"/>
          <w14:ligatures w14:val="none"/>
        </w:rPr>
        <w:t>Iwama</w:t>
      </w:r>
      <w:proofErr w:type="spellEnd"/>
      <w:r w:rsidRPr="00C162C4">
        <w:rPr>
          <w:rFonts w:ascii="Times New Roman" w:eastAsia="Times New Roman" w:hAnsi="Times New Roman" w:cs="Times New Roman"/>
          <w:color w:val="242424"/>
          <w:kern w:val="0"/>
          <w:bdr w:val="none" w:sz="0" w:space="0" w:color="auto" w:frame="1"/>
          <w14:ligatures w14:val="none"/>
        </w:rPr>
        <w:t xml:space="preserve">, M., Marshall, M., Marshall, A., &amp; Bartlett, C. (2009). Two-Eyed Seeing and the language of healing in community-based research. </w:t>
      </w:r>
      <w:r w:rsidRPr="00D4628F">
        <w:rPr>
          <w:rFonts w:ascii="Times New Roman" w:eastAsia="Times New Roman" w:hAnsi="Times New Roman" w:cs="Times New Roman"/>
          <w:i/>
          <w:iCs/>
          <w:color w:val="242424"/>
          <w:kern w:val="0"/>
          <w:bdr w:val="none" w:sz="0" w:space="0" w:color="auto" w:frame="1"/>
          <w14:ligatures w14:val="none"/>
        </w:rPr>
        <w:t>Canadian Journal of Native Education</w:t>
      </w:r>
      <w:r w:rsidRPr="00C162C4">
        <w:rPr>
          <w:rFonts w:ascii="Times New Roman" w:eastAsia="Times New Roman" w:hAnsi="Times New Roman" w:cs="Times New Roman"/>
          <w:color w:val="242424"/>
          <w:kern w:val="0"/>
          <w:bdr w:val="none" w:sz="0" w:space="0" w:color="auto" w:frame="1"/>
          <w14:ligatures w14:val="none"/>
        </w:rPr>
        <w:t>, 32(2), 3â</w:t>
      </w:r>
      <w:proofErr w:type="gramStart"/>
      <w:r w:rsidRPr="00C162C4">
        <w:rPr>
          <w:rFonts w:ascii="Times New Roman" w:eastAsia="Times New Roman" w:hAnsi="Times New Roman" w:cs="Times New Roman"/>
          <w:color w:val="242424"/>
          <w:kern w:val="0"/>
          <w:bdr w:val="none" w:sz="0" w:space="0" w:color="auto" w:frame="1"/>
          <w14:ligatures w14:val="none"/>
        </w:rPr>
        <w:t>€“</w:t>
      </w:r>
      <w:proofErr w:type="gramEnd"/>
      <w:r w:rsidRPr="00C162C4">
        <w:rPr>
          <w:rFonts w:ascii="Times New Roman" w:eastAsia="Times New Roman" w:hAnsi="Times New Roman" w:cs="Times New Roman"/>
          <w:color w:val="242424"/>
          <w:kern w:val="0"/>
          <w:bdr w:val="none" w:sz="0" w:space="0" w:color="auto" w:frame="1"/>
          <w14:ligatures w14:val="none"/>
        </w:rPr>
        <w:t>23.</w:t>
      </w:r>
    </w:p>
    <w:p w14:paraId="0BA127B4" w14:textId="77777777" w:rsidR="00B913B1" w:rsidRDefault="00B913B1" w:rsidP="00B913B1">
      <w:pPr>
        <w:pStyle w:val="NormalWeb"/>
        <w:rPr>
          <w:color w:val="000000"/>
        </w:rPr>
      </w:pPr>
      <w:r>
        <w:rPr>
          <w:color w:val="000000"/>
        </w:rPr>
        <w:t>This article explores the application of Two-Eyed Seeing in community-based health and healing research. The authors emphasize the importance of integrating Indigenous and Western perspectives to enhance holistic healing approaches. They discuss how language and cultural context shape health understandings and advocate for co-learning as a means of improving community well-being.</w:t>
      </w:r>
    </w:p>
    <w:p w14:paraId="407CCD60" w14:textId="77777777" w:rsidR="00B913B1" w:rsidRDefault="00B913B1" w:rsidP="00B913B1">
      <w:pPr>
        <w:pStyle w:val="NormalWeb"/>
        <w:rPr>
          <w:color w:val="000000"/>
        </w:rPr>
      </w:pPr>
      <w:r>
        <w:rPr>
          <w:color w:val="000000"/>
        </w:rPr>
        <w:t>Key themes include the intersection of Indigenous and Western healing practices, the role of language in health research, and the importance of relationality in community-based studies. Grounded in Indigenous knowledge systems, the article demonstrates how Two-Eyed Seeing can support culturally relevant healthcare solutions.</w:t>
      </w:r>
    </w:p>
    <w:p w14:paraId="0EDFC36E" w14:textId="77777777" w:rsidR="00B913B1" w:rsidRDefault="00B913B1" w:rsidP="00B913B1">
      <w:pPr>
        <w:pStyle w:val="NormalWeb"/>
        <w:rPr>
          <w:color w:val="000000"/>
        </w:rPr>
      </w:pPr>
      <w:r>
        <w:rPr>
          <w:color w:val="000000"/>
        </w:rPr>
        <w:lastRenderedPageBreak/>
        <w:t>Rather than relying on conventional research methodologies, the authors use a narrative and participatory approach informed by community engagement and lived experience. Their findings underscore the need for culturally sensitive health interventions that respect Indigenous knowledge and traditions.</w:t>
      </w:r>
    </w:p>
    <w:p w14:paraId="3959077D" w14:textId="77777777" w:rsidR="00B913B1" w:rsidRDefault="00B913B1" w:rsidP="00B913B1">
      <w:pPr>
        <w:pStyle w:val="NormalWeb"/>
        <w:rPr>
          <w:color w:val="000000"/>
        </w:rPr>
      </w:pPr>
      <w:r>
        <w:rPr>
          <w:color w:val="000000"/>
        </w:rPr>
        <w:t>While the article provides valuable insights, it lacks large-scale empirical studies and discussions on policy integration. Future research should explore how Two-Eyed Seeing can be systematically implemented in healthcare systems and medical education.</w:t>
      </w:r>
    </w:p>
    <w:p w14:paraId="2781068D" w14:textId="77777777" w:rsidR="00B913B1" w:rsidRDefault="00B913B1" w:rsidP="00B913B1">
      <w:pPr>
        <w:pStyle w:val="NormalWeb"/>
        <w:rPr>
          <w:color w:val="000000"/>
        </w:rPr>
      </w:pPr>
      <w:r>
        <w:rPr>
          <w:color w:val="000000"/>
        </w:rPr>
        <w:t>This work complements research on Indigenous health methodologies, aligning with studies such as Smith’s</w:t>
      </w:r>
      <w:r>
        <w:rPr>
          <w:rStyle w:val="apple-converted-space"/>
          <w:rFonts w:eastAsiaTheme="majorEastAsia"/>
          <w:color w:val="000000"/>
        </w:rPr>
        <w:t> </w:t>
      </w:r>
      <w:r>
        <w:rPr>
          <w:rStyle w:val="Emphasis"/>
          <w:rFonts w:eastAsiaTheme="majorEastAsia"/>
          <w:color w:val="000000"/>
        </w:rPr>
        <w:t>Decolonizing Methodologies</w:t>
      </w:r>
      <w:r>
        <w:rPr>
          <w:rStyle w:val="apple-converted-space"/>
          <w:rFonts w:eastAsiaTheme="majorEastAsia"/>
          <w:color w:val="000000"/>
        </w:rPr>
        <w:t> </w:t>
      </w:r>
      <w:r>
        <w:rPr>
          <w:color w:val="000000"/>
        </w:rPr>
        <w:t>and Kovach’s</w:t>
      </w:r>
      <w:r>
        <w:rPr>
          <w:rStyle w:val="apple-converted-space"/>
          <w:rFonts w:eastAsiaTheme="majorEastAsia"/>
          <w:color w:val="000000"/>
        </w:rPr>
        <w:t> </w:t>
      </w:r>
      <w:r>
        <w:rPr>
          <w:rStyle w:val="Emphasis"/>
          <w:rFonts w:eastAsiaTheme="majorEastAsia"/>
          <w:color w:val="000000"/>
        </w:rPr>
        <w:t>Indigenous Methodologies</w:t>
      </w:r>
      <w:r>
        <w:rPr>
          <w:color w:val="000000"/>
        </w:rPr>
        <w:t>. It also extends the discussion of Two-Eyed Seeing beyond environmental sciences, demonstrating its relevance in health and community research.</w:t>
      </w:r>
    </w:p>
    <w:p w14:paraId="7F134537" w14:textId="1766D846" w:rsidR="008204A4" w:rsidRPr="005326C9" w:rsidRDefault="00B913B1" w:rsidP="005326C9">
      <w:pPr>
        <w:pStyle w:val="NormalWeb"/>
        <w:rPr>
          <w:color w:val="000000"/>
        </w:rPr>
      </w:pPr>
      <w:r>
        <w:rPr>
          <w:color w:val="000000"/>
        </w:rPr>
        <w:t>Overall, this article is a significant contribution to the field of Indigenous health research, emphasizing the role of language, culture, and collaboration in healing practices. However, more empirical work is needed to expand its practical applications in broader healthcare settings.</w:t>
      </w:r>
    </w:p>
    <w:p w14:paraId="728AD438" w14:textId="50D10D43" w:rsidR="008204A4" w:rsidRPr="00686EA8" w:rsidRDefault="008204A4" w:rsidP="008204A4">
      <w:pPr>
        <w:textAlignment w:val="baseline"/>
        <w:rPr>
          <w:rFonts w:ascii="Times New Roman" w:eastAsia="Times New Roman" w:hAnsi="Times New Roman" w:cs="Times New Roman"/>
          <w:color w:val="242424"/>
          <w:kern w:val="0"/>
          <w:bdr w:val="none" w:sz="0" w:space="0" w:color="auto" w:frame="1"/>
          <w14:ligatures w14:val="none"/>
        </w:rPr>
      </w:pPr>
      <w:r w:rsidRPr="008204A4">
        <w:rPr>
          <w:rFonts w:ascii="Times New Roman" w:eastAsia="Times New Roman" w:hAnsi="Times New Roman" w:cs="Times New Roman"/>
          <w:color w:val="242424"/>
          <w:kern w:val="0"/>
          <w:bdr w:val="none" w:sz="0" w:space="0" w:color="auto" w:frame="1"/>
          <w14:ligatures w14:val="none"/>
        </w:rPr>
        <w:t xml:space="preserve">Johnson, W. B. (2002). The intentional mentor: Strategies and guidelines for the practice of mentoring. </w:t>
      </w:r>
      <w:r w:rsidRPr="005326C9">
        <w:rPr>
          <w:rFonts w:ascii="Times New Roman" w:eastAsia="Times New Roman" w:hAnsi="Times New Roman" w:cs="Times New Roman"/>
          <w:i/>
          <w:iCs/>
          <w:color w:val="242424"/>
          <w:kern w:val="0"/>
          <w:bdr w:val="none" w:sz="0" w:space="0" w:color="auto" w:frame="1"/>
          <w14:ligatures w14:val="none"/>
        </w:rPr>
        <w:t>Professional Psychology: Research and Practice</w:t>
      </w:r>
      <w:r w:rsidRPr="008204A4">
        <w:rPr>
          <w:rFonts w:ascii="Times New Roman" w:eastAsia="Times New Roman" w:hAnsi="Times New Roman" w:cs="Times New Roman"/>
          <w:color w:val="242424"/>
          <w:kern w:val="0"/>
          <w:bdr w:val="none" w:sz="0" w:space="0" w:color="auto" w:frame="1"/>
          <w14:ligatures w14:val="none"/>
        </w:rPr>
        <w:t>, 33(1), 88â</w:t>
      </w:r>
      <w:proofErr w:type="gramStart"/>
      <w:r w:rsidRPr="008204A4">
        <w:rPr>
          <w:rFonts w:ascii="Times New Roman" w:eastAsia="Times New Roman" w:hAnsi="Times New Roman" w:cs="Times New Roman"/>
          <w:color w:val="242424"/>
          <w:kern w:val="0"/>
          <w:bdr w:val="none" w:sz="0" w:space="0" w:color="auto" w:frame="1"/>
          <w14:ligatures w14:val="none"/>
        </w:rPr>
        <w:t>€“</w:t>
      </w:r>
      <w:proofErr w:type="gramEnd"/>
      <w:r w:rsidRPr="008204A4">
        <w:rPr>
          <w:rFonts w:ascii="Times New Roman" w:eastAsia="Times New Roman" w:hAnsi="Times New Roman" w:cs="Times New Roman"/>
          <w:color w:val="242424"/>
          <w:kern w:val="0"/>
          <w:bdr w:val="none" w:sz="0" w:space="0" w:color="auto" w:frame="1"/>
          <w14:ligatures w14:val="none"/>
        </w:rPr>
        <w:t>96.</w:t>
      </w:r>
    </w:p>
    <w:p w14:paraId="358B16B0" w14:textId="77777777" w:rsidR="00086F30" w:rsidRDefault="00086F30" w:rsidP="00086F30">
      <w:pPr>
        <w:pStyle w:val="NormalWeb"/>
        <w:rPr>
          <w:color w:val="000000"/>
        </w:rPr>
      </w:pPr>
      <w:r>
        <w:rPr>
          <w:color w:val="000000"/>
        </w:rPr>
        <w:t>Johnson explores the concept of intentional mentoring, outlining effective strategies for fostering professional growth in mentees. The article emphasizes the mentor’s role in providing guidance, emotional support, and career development opportunities. Johnson highlights best practices such as establishing clear expectations, fostering trust, and tailoring mentorship to individual needs.</w:t>
      </w:r>
    </w:p>
    <w:p w14:paraId="33F21D2E" w14:textId="77777777" w:rsidR="00086F30" w:rsidRDefault="00086F30" w:rsidP="00086F30">
      <w:pPr>
        <w:pStyle w:val="NormalWeb"/>
        <w:rPr>
          <w:color w:val="000000"/>
        </w:rPr>
      </w:pPr>
      <w:r>
        <w:rPr>
          <w:color w:val="000000"/>
        </w:rPr>
        <w:t>Key themes include mentor-mentee relationships, ethical responsibilities, and the long-term benefits of structured mentorship. The article is grounded in psychological theories of mentorship and professional development, providing a framework for effective mentor relationships across various fields.</w:t>
      </w:r>
    </w:p>
    <w:p w14:paraId="6A562CE0" w14:textId="77777777" w:rsidR="00086F30" w:rsidRDefault="00086F30" w:rsidP="00086F30">
      <w:pPr>
        <w:pStyle w:val="NormalWeb"/>
        <w:rPr>
          <w:color w:val="000000"/>
        </w:rPr>
      </w:pPr>
      <w:r>
        <w:rPr>
          <w:color w:val="000000"/>
        </w:rPr>
        <w:t>Using a literature review and case examples, Johnson presents practical strategies for successful mentoring. However, the article lacks empirical studies assessing the long-term effectiveness of these strategies. Future research should explore the impact of structured mentoring programs across different professional domains.</w:t>
      </w:r>
    </w:p>
    <w:p w14:paraId="07046BF0" w14:textId="77777777" w:rsidR="00086F30" w:rsidRDefault="00086F30" w:rsidP="00086F30">
      <w:pPr>
        <w:pStyle w:val="NormalWeb"/>
        <w:rPr>
          <w:color w:val="000000"/>
        </w:rPr>
      </w:pPr>
      <w:r>
        <w:rPr>
          <w:color w:val="000000"/>
        </w:rPr>
        <w:t xml:space="preserve">This work aligns with research on professional mentorship, complementing studies such as </w:t>
      </w:r>
      <w:proofErr w:type="spellStart"/>
      <w:r>
        <w:rPr>
          <w:color w:val="000000"/>
        </w:rPr>
        <w:t>Ragins</w:t>
      </w:r>
      <w:proofErr w:type="spellEnd"/>
      <w:r>
        <w:rPr>
          <w:color w:val="000000"/>
        </w:rPr>
        <w:t xml:space="preserve"> and Kram’s work on mentoring relationships and Eby’s research on mentorship outcomes. It provides a valuable resource for professionals seeking to enhance their mentoring skills, though more empirical validation is needed to support its recommendations.</w:t>
      </w:r>
    </w:p>
    <w:p w14:paraId="4FAD9281" w14:textId="77777777" w:rsidR="00086F30" w:rsidRDefault="00086F30" w:rsidP="00086F30">
      <w:pPr>
        <w:pStyle w:val="NormalWeb"/>
        <w:rPr>
          <w:color w:val="000000"/>
        </w:rPr>
      </w:pPr>
      <w:r>
        <w:rPr>
          <w:color w:val="000000"/>
        </w:rPr>
        <w:t>Overall, Johnson’s article offers practical guidelines for intentional mentoring, emphasizing the importance of structure and adaptability. However, further research is needed to evaluate its application in diverse professional contexts.</w:t>
      </w:r>
    </w:p>
    <w:p w14:paraId="15566123" w14:textId="77777777" w:rsidR="008204A4" w:rsidRPr="008204A4" w:rsidRDefault="008204A4" w:rsidP="008204A4">
      <w:pPr>
        <w:textAlignment w:val="baseline"/>
        <w:rPr>
          <w:rFonts w:ascii="Times New Roman" w:eastAsia="Times New Roman" w:hAnsi="Times New Roman" w:cs="Times New Roman"/>
          <w:color w:val="242424"/>
          <w:kern w:val="0"/>
          <w14:ligatures w14:val="none"/>
        </w:rPr>
      </w:pPr>
    </w:p>
    <w:p w14:paraId="52FC5943" w14:textId="68CF5774" w:rsidR="008204A4" w:rsidRPr="00492B14" w:rsidRDefault="008204A4" w:rsidP="008204A4">
      <w:pPr>
        <w:textAlignment w:val="baseline"/>
        <w:rPr>
          <w:rFonts w:ascii="Times New Roman" w:eastAsia="Times New Roman" w:hAnsi="Times New Roman" w:cs="Times New Roman"/>
          <w:color w:val="242424"/>
          <w:kern w:val="0"/>
          <w:bdr w:val="none" w:sz="0" w:space="0" w:color="auto" w:frame="1"/>
          <w14:ligatures w14:val="none"/>
        </w:rPr>
      </w:pPr>
      <w:r w:rsidRPr="00492B14">
        <w:rPr>
          <w:rFonts w:ascii="Times New Roman" w:eastAsia="Times New Roman" w:hAnsi="Times New Roman" w:cs="Times New Roman"/>
          <w:color w:val="242424"/>
          <w:kern w:val="0"/>
          <w:sz w:val="15"/>
          <w:szCs w:val="15"/>
          <w:bdr w:val="none" w:sz="0" w:space="0" w:color="auto" w:frame="1"/>
          <w14:ligatures w14:val="none"/>
        </w:rPr>
        <w:lastRenderedPageBreak/>
        <w:t> </w:t>
      </w:r>
      <w:r w:rsidRPr="00492B14">
        <w:rPr>
          <w:rFonts w:ascii="Times New Roman" w:eastAsia="Times New Roman" w:hAnsi="Times New Roman" w:cs="Times New Roman"/>
          <w:color w:val="242424"/>
          <w:kern w:val="0"/>
          <w:bdr w:val="none" w:sz="0" w:space="0" w:color="auto" w:frame="1"/>
          <w14:ligatures w14:val="none"/>
        </w:rPr>
        <w:t xml:space="preserve">Marshall, A. (2017). Two-Eyed Seeing: A framework for understanding Indigenous and non-Indigenous approaches to Indigenous health research. </w:t>
      </w:r>
      <w:r w:rsidRPr="00492B14">
        <w:rPr>
          <w:rFonts w:ascii="Times New Roman" w:eastAsia="Times New Roman" w:hAnsi="Times New Roman" w:cs="Times New Roman"/>
          <w:i/>
          <w:iCs/>
          <w:color w:val="242424"/>
          <w:kern w:val="0"/>
          <w:bdr w:val="none" w:sz="0" w:space="0" w:color="auto" w:frame="1"/>
          <w14:ligatures w14:val="none"/>
        </w:rPr>
        <w:t>Canadian Journal of Nursing Research</w:t>
      </w:r>
      <w:r w:rsidRPr="00492B14">
        <w:rPr>
          <w:rFonts w:ascii="Times New Roman" w:eastAsia="Times New Roman" w:hAnsi="Times New Roman" w:cs="Times New Roman"/>
          <w:color w:val="242424"/>
          <w:kern w:val="0"/>
          <w:bdr w:val="none" w:sz="0" w:space="0" w:color="auto" w:frame="1"/>
          <w14:ligatures w14:val="none"/>
        </w:rPr>
        <w:t>, 49(2), 125â</w:t>
      </w:r>
      <w:proofErr w:type="gramStart"/>
      <w:r w:rsidRPr="00492B14">
        <w:rPr>
          <w:rFonts w:ascii="Times New Roman" w:eastAsia="Times New Roman" w:hAnsi="Times New Roman" w:cs="Times New Roman"/>
          <w:color w:val="242424"/>
          <w:kern w:val="0"/>
          <w:bdr w:val="none" w:sz="0" w:space="0" w:color="auto" w:frame="1"/>
          <w14:ligatures w14:val="none"/>
        </w:rPr>
        <w:t>€“</w:t>
      </w:r>
      <w:proofErr w:type="gramEnd"/>
      <w:r w:rsidRPr="00492B14">
        <w:rPr>
          <w:rFonts w:ascii="Times New Roman" w:eastAsia="Times New Roman" w:hAnsi="Times New Roman" w:cs="Times New Roman"/>
          <w:color w:val="242424"/>
          <w:kern w:val="0"/>
          <w:bdr w:val="none" w:sz="0" w:space="0" w:color="auto" w:frame="1"/>
          <w14:ligatures w14:val="none"/>
        </w:rPr>
        <w:t>136.</w:t>
      </w:r>
    </w:p>
    <w:p w14:paraId="1D3D20BA" w14:textId="77777777" w:rsidR="00130C76" w:rsidRDefault="00130C76" w:rsidP="00130C76">
      <w:pPr>
        <w:pStyle w:val="NormalWeb"/>
        <w:rPr>
          <w:color w:val="000000"/>
        </w:rPr>
      </w:pPr>
      <w:r>
        <w:rPr>
          <w:color w:val="000000"/>
        </w:rPr>
        <w:t>Marshall explores the Two-Eyed Seeing framework in the context of Indigenous health research, emphasizing its role in bridging Indigenous and Western methodologies. The article highlights the importance of culturally appropriate health research and the need for Indigenous knowledge systems to be valued alongside Western scientific approaches.</w:t>
      </w:r>
    </w:p>
    <w:p w14:paraId="4D1D3E10" w14:textId="77777777" w:rsidR="00130C76" w:rsidRDefault="00130C76" w:rsidP="00130C76">
      <w:pPr>
        <w:pStyle w:val="NormalWeb"/>
        <w:rPr>
          <w:color w:val="000000"/>
        </w:rPr>
      </w:pPr>
      <w:r>
        <w:rPr>
          <w:color w:val="000000"/>
        </w:rPr>
        <w:t>Key themes include health equity, Indigenous research methodologies, and the integration of multiple ways of knowing in health sciences. Marshall argues that Two-Eyed Seeing offers a path to more holistic and respectful health research practices that acknowledge Indigenous perspectives and lived experiences.</w:t>
      </w:r>
    </w:p>
    <w:p w14:paraId="75E2C905" w14:textId="77777777" w:rsidR="00130C76" w:rsidRDefault="00130C76" w:rsidP="00130C76">
      <w:pPr>
        <w:pStyle w:val="NormalWeb"/>
        <w:rPr>
          <w:color w:val="000000"/>
        </w:rPr>
      </w:pPr>
      <w:r>
        <w:rPr>
          <w:color w:val="000000"/>
        </w:rPr>
        <w:t>The article adopts a conceptual and theoretical approach, drawing from existing literature and Indigenous knowledge systems rather than empirical data collection. While it effectively outlines the benefits of Two-Eyed Seeing in health research, it lacks direct case studies or measurable outcomes.</w:t>
      </w:r>
    </w:p>
    <w:p w14:paraId="1846C386" w14:textId="77777777" w:rsidR="00130C76" w:rsidRDefault="00130C76" w:rsidP="00130C76">
      <w:pPr>
        <w:pStyle w:val="NormalWeb"/>
        <w:rPr>
          <w:color w:val="000000"/>
        </w:rPr>
      </w:pPr>
      <w:r>
        <w:rPr>
          <w:color w:val="000000"/>
        </w:rPr>
        <w:t>Future research should focus on applying Two-Eyed Seeing in clinical and public health settings, assessing its impact on health outcomes for Indigenous communities. Further empirical studies are needed to demonstrate its effectiveness in practice.</w:t>
      </w:r>
    </w:p>
    <w:p w14:paraId="6DC7A526" w14:textId="77777777" w:rsidR="00130C76" w:rsidRDefault="00130C76" w:rsidP="00130C76">
      <w:pPr>
        <w:pStyle w:val="NormalWeb"/>
        <w:rPr>
          <w:color w:val="000000"/>
        </w:rPr>
      </w:pPr>
      <w:r>
        <w:rPr>
          <w:color w:val="000000"/>
        </w:rPr>
        <w:t>This article complements other works on Indigenous research methodologies, such as Kovach’s</w:t>
      </w:r>
      <w:r>
        <w:rPr>
          <w:rStyle w:val="apple-converted-space"/>
          <w:rFonts w:eastAsiaTheme="majorEastAsia"/>
          <w:color w:val="000000"/>
        </w:rPr>
        <w:t> </w:t>
      </w:r>
      <w:r>
        <w:rPr>
          <w:rStyle w:val="Emphasis"/>
          <w:rFonts w:eastAsiaTheme="majorEastAsia"/>
          <w:color w:val="000000"/>
        </w:rPr>
        <w:t>Indigenous Methodologies</w:t>
      </w:r>
      <w:r>
        <w:rPr>
          <w:rStyle w:val="apple-converted-space"/>
          <w:rFonts w:eastAsiaTheme="majorEastAsia"/>
          <w:color w:val="000000"/>
        </w:rPr>
        <w:t> </w:t>
      </w:r>
      <w:r>
        <w:rPr>
          <w:color w:val="000000"/>
        </w:rPr>
        <w:t>and Wilson’s</w:t>
      </w:r>
      <w:r>
        <w:rPr>
          <w:rStyle w:val="apple-converted-space"/>
          <w:rFonts w:eastAsiaTheme="majorEastAsia"/>
          <w:color w:val="000000"/>
        </w:rPr>
        <w:t> </w:t>
      </w:r>
      <w:r>
        <w:rPr>
          <w:rStyle w:val="Emphasis"/>
          <w:rFonts w:eastAsiaTheme="majorEastAsia"/>
          <w:color w:val="000000"/>
        </w:rPr>
        <w:t>Research Is Ceremony</w:t>
      </w:r>
      <w:r>
        <w:rPr>
          <w:color w:val="000000"/>
        </w:rPr>
        <w:t>. It contributes to the growing discourse on Indigenous health research, offering a valuable framework for integrating Indigenous and Western knowledge systems.</w:t>
      </w:r>
    </w:p>
    <w:p w14:paraId="7F16E66D" w14:textId="394F25E2" w:rsidR="008204A4" w:rsidRPr="004724EC" w:rsidRDefault="00130C76" w:rsidP="004724EC">
      <w:pPr>
        <w:pStyle w:val="NormalWeb"/>
        <w:rPr>
          <w:color w:val="000000"/>
        </w:rPr>
      </w:pPr>
      <w:r>
        <w:rPr>
          <w:color w:val="000000"/>
        </w:rPr>
        <w:t>Overall, Marshall’s work provides a strong theoretical foundation for applying Two-Eyed Seeing in health research. However, further empirical studies are needed to explore its practical applications and long-term benefits in healthcare settings.</w:t>
      </w:r>
    </w:p>
    <w:p w14:paraId="35F92EFD" w14:textId="3C90E358" w:rsidR="008204A4" w:rsidRPr="00492B14" w:rsidRDefault="008204A4" w:rsidP="008204A4">
      <w:pPr>
        <w:textAlignment w:val="baseline"/>
        <w:rPr>
          <w:rFonts w:ascii="Times New Roman" w:eastAsia="Times New Roman" w:hAnsi="Times New Roman" w:cs="Times New Roman"/>
          <w:color w:val="242424"/>
          <w:kern w:val="0"/>
          <w:bdr w:val="none" w:sz="0" w:space="0" w:color="auto" w:frame="1"/>
          <w14:ligatures w14:val="none"/>
        </w:rPr>
      </w:pPr>
      <w:r w:rsidRPr="00492B14">
        <w:rPr>
          <w:rFonts w:ascii="Times New Roman" w:eastAsia="Times New Roman" w:hAnsi="Times New Roman" w:cs="Times New Roman"/>
          <w:color w:val="242424"/>
          <w:kern w:val="0"/>
          <w:sz w:val="15"/>
          <w:szCs w:val="15"/>
          <w:bdr w:val="none" w:sz="0" w:space="0" w:color="auto" w:frame="1"/>
          <w14:ligatures w14:val="none"/>
        </w:rPr>
        <w:t> </w:t>
      </w:r>
      <w:r w:rsidRPr="00492B14">
        <w:rPr>
          <w:rFonts w:ascii="Times New Roman" w:eastAsia="Times New Roman" w:hAnsi="Times New Roman" w:cs="Times New Roman"/>
          <w:color w:val="242424"/>
          <w:kern w:val="0"/>
          <w:bdr w:val="none" w:sz="0" w:space="0" w:color="auto" w:frame="1"/>
          <w14:ligatures w14:val="none"/>
        </w:rPr>
        <w:t xml:space="preserve">Mullen, C. A. (2005). The mentorship primer. </w:t>
      </w:r>
      <w:r w:rsidRPr="00492B14">
        <w:rPr>
          <w:rFonts w:ascii="Times New Roman" w:eastAsia="Times New Roman" w:hAnsi="Times New Roman" w:cs="Times New Roman"/>
          <w:i/>
          <w:iCs/>
          <w:color w:val="242424"/>
          <w:kern w:val="0"/>
          <w:bdr w:val="none" w:sz="0" w:space="0" w:color="auto" w:frame="1"/>
          <w14:ligatures w14:val="none"/>
        </w:rPr>
        <w:t>Peter Lang Publishing</w:t>
      </w:r>
      <w:r w:rsidRPr="00492B14">
        <w:rPr>
          <w:rFonts w:ascii="Times New Roman" w:eastAsia="Times New Roman" w:hAnsi="Times New Roman" w:cs="Times New Roman"/>
          <w:color w:val="242424"/>
          <w:kern w:val="0"/>
          <w:bdr w:val="none" w:sz="0" w:space="0" w:color="auto" w:frame="1"/>
          <w14:ligatures w14:val="none"/>
        </w:rPr>
        <w:t>.</w:t>
      </w:r>
    </w:p>
    <w:p w14:paraId="44CE4BF5" w14:textId="77777777" w:rsidR="00F1412B" w:rsidRDefault="00F1412B" w:rsidP="00F1412B">
      <w:pPr>
        <w:pStyle w:val="NormalWeb"/>
        <w:rPr>
          <w:color w:val="000000"/>
        </w:rPr>
      </w:pPr>
      <w:r>
        <w:rPr>
          <w:color w:val="000000"/>
        </w:rPr>
        <w:t>Mullen provides an overview of mentorship principles and practices, offering a guide for both mentors and mentees. The book explores different models of mentorship, emphasizing the importance of fostering professional and personal development in mentees. Mullen highlights the role of mentorship in education, leadership, and career progression.</w:t>
      </w:r>
    </w:p>
    <w:p w14:paraId="3944D0BE" w14:textId="77777777" w:rsidR="00F1412B" w:rsidRDefault="00F1412B" w:rsidP="00F1412B">
      <w:pPr>
        <w:pStyle w:val="NormalWeb"/>
        <w:rPr>
          <w:color w:val="000000"/>
        </w:rPr>
      </w:pPr>
      <w:r>
        <w:rPr>
          <w:color w:val="000000"/>
        </w:rPr>
        <w:t>Key themes include mentoring relationships, leadership development, and strategies for effective mentorship. The book draws from research and practical applications, making it a useful resource for educators and professionals looking to enhance mentoring effectiveness.</w:t>
      </w:r>
    </w:p>
    <w:p w14:paraId="2008E197" w14:textId="77777777" w:rsidR="00F1412B" w:rsidRDefault="00F1412B" w:rsidP="00F1412B">
      <w:pPr>
        <w:pStyle w:val="NormalWeb"/>
        <w:rPr>
          <w:color w:val="000000"/>
        </w:rPr>
      </w:pPr>
      <w:r>
        <w:rPr>
          <w:color w:val="000000"/>
        </w:rPr>
        <w:t>While the book offers a comprehensive introduction to mentorship, it lacks empirical studies that measure the effectiveness of various mentoring models. Future research should focus on assessing long-term mentorship outcomes and best practices across different fields.</w:t>
      </w:r>
    </w:p>
    <w:p w14:paraId="0FC32C29" w14:textId="77777777" w:rsidR="00F1412B" w:rsidRDefault="00F1412B" w:rsidP="00F1412B">
      <w:pPr>
        <w:pStyle w:val="NormalWeb"/>
        <w:rPr>
          <w:color w:val="000000"/>
        </w:rPr>
      </w:pPr>
      <w:r>
        <w:rPr>
          <w:color w:val="000000"/>
        </w:rPr>
        <w:lastRenderedPageBreak/>
        <w:t>In comparison to seminal works such as Kram’s</w:t>
      </w:r>
      <w:r>
        <w:rPr>
          <w:rStyle w:val="apple-converted-space"/>
          <w:rFonts w:eastAsiaTheme="majorEastAsia"/>
          <w:color w:val="000000"/>
        </w:rPr>
        <w:t> </w:t>
      </w:r>
      <w:r>
        <w:rPr>
          <w:rStyle w:val="Emphasis"/>
          <w:rFonts w:eastAsiaTheme="majorEastAsia"/>
          <w:color w:val="000000"/>
        </w:rPr>
        <w:t>Mentoring at Work</w:t>
      </w:r>
      <w:r>
        <w:rPr>
          <w:rStyle w:val="apple-converted-space"/>
          <w:rFonts w:eastAsiaTheme="majorEastAsia"/>
          <w:color w:val="000000"/>
        </w:rPr>
        <w:t> </w:t>
      </w:r>
      <w:r>
        <w:rPr>
          <w:color w:val="000000"/>
        </w:rPr>
        <w:t>and Clutterbuck’s</w:t>
      </w:r>
      <w:r>
        <w:rPr>
          <w:rStyle w:val="apple-converted-space"/>
          <w:rFonts w:eastAsiaTheme="majorEastAsia"/>
          <w:color w:val="000000"/>
        </w:rPr>
        <w:t> </w:t>
      </w:r>
      <w:r>
        <w:rPr>
          <w:rStyle w:val="Emphasis"/>
          <w:rFonts w:eastAsiaTheme="majorEastAsia"/>
          <w:color w:val="000000"/>
        </w:rPr>
        <w:t>Everyone Needs a Mentor</w:t>
      </w:r>
      <w:r>
        <w:rPr>
          <w:color w:val="000000"/>
        </w:rPr>
        <w:t>, Mullen’s book provides an accessible and applied approach to mentorship. However, it would benefit from deeper engagement with empirical research.</w:t>
      </w:r>
    </w:p>
    <w:p w14:paraId="574038EA" w14:textId="6231E9EA" w:rsidR="00F1412B" w:rsidRPr="005F3052" w:rsidRDefault="00F1412B" w:rsidP="005F3052">
      <w:pPr>
        <w:pStyle w:val="NormalWeb"/>
        <w:rPr>
          <w:color w:val="000000"/>
        </w:rPr>
      </w:pPr>
      <w:r>
        <w:rPr>
          <w:color w:val="000000"/>
        </w:rPr>
        <w:t>Overall, Mullen’s work serves as a valuable resource for those interested in mentorship theory and practice. It aligns with existing research on mentorship while providing practical insights for professionals and educators.</w:t>
      </w:r>
    </w:p>
    <w:p w14:paraId="0BA08193" w14:textId="091FAB76" w:rsidR="008204A4" w:rsidRPr="00011594" w:rsidRDefault="008204A4" w:rsidP="008204A4">
      <w:pPr>
        <w:textAlignment w:val="baseline"/>
        <w:rPr>
          <w:rFonts w:ascii="Times New Roman" w:eastAsia="Times New Roman" w:hAnsi="Times New Roman" w:cs="Times New Roman"/>
          <w:color w:val="242424"/>
          <w:kern w:val="0"/>
          <w:bdr w:val="none" w:sz="0" w:space="0" w:color="auto" w:frame="1"/>
          <w14:ligatures w14:val="none"/>
        </w:rPr>
      </w:pPr>
      <w:r w:rsidRPr="00804444">
        <w:rPr>
          <w:rFonts w:ascii="Times New Roman" w:eastAsia="Times New Roman" w:hAnsi="Times New Roman" w:cs="Times New Roman"/>
          <w:color w:val="242424"/>
          <w:kern w:val="0"/>
          <w:sz w:val="15"/>
          <w:szCs w:val="15"/>
          <w:bdr w:val="none" w:sz="0" w:space="0" w:color="auto" w:frame="1"/>
          <w14:ligatures w14:val="none"/>
        </w:rPr>
        <w:t> </w:t>
      </w:r>
      <w:r w:rsidRPr="00804444">
        <w:rPr>
          <w:rFonts w:ascii="Times New Roman" w:eastAsia="Times New Roman" w:hAnsi="Times New Roman" w:cs="Times New Roman"/>
          <w:color w:val="242424"/>
          <w:kern w:val="0"/>
          <w:bdr w:val="none" w:sz="0" w:space="0" w:color="auto" w:frame="1"/>
          <w14:ligatures w14:val="none"/>
        </w:rPr>
        <w:t xml:space="preserve">Nakamura, J., </w:t>
      </w:r>
      <w:proofErr w:type="spellStart"/>
      <w:r w:rsidRPr="00804444">
        <w:rPr>
          <w:rFonts w:ascii="Times New Roman" w:eastAsia="Times New Roman" w:hAnsi="Times New Roman" w:cs="Times New Roman"/>
          <w:color w:val="242424"/>
          <w:kern w:val="0"/>
          <w:bdr w:val="none" w:sz="0" w:space="0" w:color="auto" w:frame="1"/>
          <w14:ligatures w14:val="none"/>
        </w:rPr>
        <w:t>Shernoff</w:t>
      </w:r>
      <w:proofErr w:type="spellEnd"/>
      <w:r w:rsidRPr="00804444">
        <w:rPr>
          <w:rFonts w:ascii="Times New Roman" w:eastAsia="Times New Roman" w:hAnsi="Times New Roman" w:cs="Times New Roman"/>
          <w:color w:val="242424"/>
          <w:kern w:val="0"/>
          <w:bdr w:val="none" w:sz="0" w:space="0" w:color="auto" w:frame="1"/>
          <w14:ligatures w14:val="none"/>
        </w:rPr>
        <w:t>, D. J., &amp; Hooker, C. H. (2009). Good mentoring: Fostering excellent practice in higher education.</w:t>
      </w:r>
    </w:p>
    <w:p w14:paraId="7F3527AF" w14:textId="77777777" w:rsidR="00A47E9E" w:rsidRDefault="00A47E9E" w:rsidP="00A47E9E">
      <w:pPr>
        <w:pStyle w:val="NormalWeb"/>
        <w:rPr>
          <w:color w:val="000000"/>
        </w:rPr>
      </w:pPr>
      <w:r>
        <w:rPr>
          <w:color w:val="000000"/>
        </w:rPr>
        <w:t>This book examines the critical role of mentoring in higher education and offers a framework for fostering excellence through structured mentorship. The authors argue that effective mentoring relationships enhance academic success, career development, and personal growth. They emphasize the importance of motivation, relationship-building, and the mentor’s role in guiding mentees toward professional and personal fulfillment. By focusing on best practices, the book provides practical insights for improving mentoring programs in academic settings.</w:t>
      </w:r>
    </w:p>
    <w:p w14:paraId="354054BF" w14:textId="77777777" w:rsidR="00A47E9E" w:rsidRDefault="00A47E9E" w:rsidP="00A47E9E">
      <w:pPr>
        <w:pStyle w:val="NormalWeb"/>
        <w:rPr>
          <w:color w:val="000000"/>
        </w:rPr>
      </w:pPr>
      <w:r>
        <w:rPr>
          <w:color w:val="000000"/>
        </w:rPr>
        <w:t>Key themes explored include mentor-mentee dynamics, the impact of mentoring on career trajectories, and strategies for fostering meaningful relationships in higher education. The book draws from educational psychology and mentorship theory, making it a valuable resource for those involved in academic mentorship. However, the authors rely primarily on theoretical analysis and case examples, without incorporating empirical research to validate their recommendations.</w:t>
      </w:r>
    </w:p>
    <w:p w14:paraId="7FFFE1F3" w14:textId="77777777" w:rsidR="00A47E9E" w:rsidRDefault="00A47E9E" w:rsidP="00A47E9E">
      <w:pPr>
        <w:pStyle w:val="NormalWeb"/>
        <w:rPr>
          <w:color w:val="000000"/>
        </w:rPr>
      </w:pPr>
      <w:r>
        <w:rPr>
          <w:color w:val="000000"/>
        </w:rPr>
        <w:t>One of the main strengths of this work is its practical application, offering concrete strategies for mentors to improve their effectiveness. However, a significant gap lies in the lack of longitudinal studies assessing the long-term impact of mentorship on academic and professional success. Future research should focus on measuring the effectiveness of structured mentorship programs and exploring how different mentorship approaches influence outcomes in diverse educational environments.</w:t>
      </w:r>
    </w:p>
    <w:p w14:paraId="3331FD9D" w14:textId="7737C683" w:rsidR="00A47E9E" w:rsidRPr="008D627B" w:rsidRDefault="00A47E9E" w:rsidP="008D627B">
      <w:pPr>
        <w:pStyle w:val="NormalWeb"/>
        <w:rPr>
          <w:color w:val="000000"/>
        </w:rPr>
      </w:pPr>
      <w:r>
        <w:rPr>
          <w:color w:val="000000"/>
        </w:rPr>
        <w:t>Compared to seminal works such as Kram’s</w:t>
      </w:r>
      <w:r>
        <w:rPr>
          <w:rStyle w:val="apple-converted-space"/>
          <w:rFonts w:eastAsiaTheme="majorEastAsia"/>
          <w:color w:val="000000"/>
        </w:rPr>
        <w:t> </w:t>
      </w:r>
      <w:r>
        <w:rPr>
          <w:rStyle w:val="Emphasis"/>
          <w:rFonts w:eastAsiaTheme="majorEastAsia"/>
          <w:color w:val="000000"/>
        </w:rPr>
        <w:t>Mentoring at Work</w:t>
      </w:r>
      <w:r>
        <w:rPr>
          <w:color w:val="000000"/>
        </w:rPr>
        <w:t>, this book provides a more focused perspective on higher education, making it particularly useful for academic institutions. While it offers valuable insights, further empirical studies are needed to reinforce its recommendations and assess their broader applicability.</w:t>
      </w:r>
    </w:p>
    <w:p w14:paraId="2116ADED" w14:textId="5CCE4326" w:rsidR="008204A4" w:rsidRPr="008D627B" w:rsidRDefault="008204A4" w:rsidP="008D627B">
      <w:pPr>
        <w:textAlignment w:val="baseline"/>
        <w:rPr>
          <w:rFonts w:ascii="Times New Roman" w:eastAsia="Times New Roman" w:hAnsi="Times New Roman" w:cs="Times New Roman"/>
          <w:color w:val="242424"/>
          <w:kern w:val="0"/>
          <w14:ligatures w14:val="none"/>
        </w:rPr>
      </w:pPr>
      <w:r w:rsidRPr="00011594">
        <w:rPr>
          <w:rFonts w:ascii="Times New Roman" w:eastAsia="Times New Roman" w:hAnsi="Times New Roman" w:cs="Times New Roman"/>
          <w:color w:val="242424"/>
          <w:kern w:val="0"/>
          <w:sz w:val="15"/>
          <w:szCs w:val="15"/>
          <w:bdr w:val="none" w:sz="0" w:space="0" w:color="auto" w:frame="1"/>
          <w14:ligatures w14:val="none"/>
        </w:rPr>
        <w:t> </w:t>
      </w:r>
      <w:r w:rsidRPr="00011594">
        <w:rPr>
          <w:rFonts w:ascii="Times New Roman" w:eastAsia="Times New Roman" w:hAnsi="Times New Roman" w:cs="Times New Roman"/>
          <w:color w:val="242424"/>
          <w:kern w:val="0"/>
          <w:bdr w:val="none" w:sz="0" w:space="0" w:color="auto" w:frame="1"/>
          <w14:ligatures w14:val="none"/>
        </w:rPr>
        <w:t>Smith, L. T. (1999). Decolonizing methodologies: Research and Indigenous peoples. Zed Books.</w:t>
      </w:r>
    </w:p>
    <w:p w14:paraId="38B5FDF2" w14:textId="77777777" w:rsidR="00693C65" w:rsidRDefault="001E2199" w:rsidP="001E2199">
      <w:pPr>
        <w:pStyle w:val="NormalWeb"/>
        <w:rPr>
          <w:color w:val="000000"/>
        </w:rPr>
      </w:pPr>
      <w:r>
        <w:rPr>
          <w:color w:val="000000"/>
        </w:rPr>
        <w:t xml:space="preserve">Smith (1999) critically examines Western research methodologies and their historical role in marginalizing Indigenous perspectives. The book argues that traditional research approaches often reinforce colonial power structures, making it imperative to develop Indigenous-centered methodologies. </w:t>
      </w:r>
    </w:p>
    <w:p w14:paraId="6692A5AE" w14:textId="77777777" w:rsidR="007145B0" w:rsidRDefault="001E2199" w:rsidP="001E2199">
      <w:pPr>
        <w:pStyle w:val="NormalWeb"/>
        <w:rPr>
          <w:color w:val="000000"/>
        </w:rPr>
      </w:pPr>
      <w:r>
        <w:rPr>
          <w:color w:val="000000"/>
        </w:rPr>
        <w:t xml:space="preserve">Smith highlights themes such as decolonization, Indigenous self-determination, and the politics of knowledge production, advocating for ethical research that serves Indigenous communities </w:t>
      </w:r>
      <w:r>
        <w:rPr>
          <w:color w:val="000000"/>
        </w:rPr>
        <w:lastRenderedPageBreak/>
        <w:t xml:space="preserve">rather than exploiting them. Grounded in postcolonial and Indigenous theories, the book presents a strong theoretical framework for decolonizing research practices. </w:t>
      </w:r>
    </w:p>
    <w:p w14:paraId="28C559D8" w14:textId="77777777" w:rsidR="007145B0" w:rsidRDefault="001E2199" w:rsidP="001E2199">
      <w:pPr>
        <w:pStyle w:val="NormalWeb"/>
        <w:rPr>
          <w:color w:val="000000"/>
        </w:rPr>
      </w:pPr>
      <w:r>
        <w:rPr>
          <w:color w:val="000000"/>
        </w:rPr>
        <w:t xml:space="preserve">Methodologically, it provides a critical analysis of historical and contemporary research practices but lacks empirical case studies demonstrating its application. The book’s findings underscore the need for community-driven research that prioritizes Indigenous voices, yet a gap remains in its practical application across diverse Indigenous contexts. Future research should focus on implementing Smith’s frameworks in various academic disciplines and assessing their effectiveness in real-world studies. </w:t>
      </w:r>
    </w:p>
    <w:p w14:paraId="65338C01" w14:textId="5FD1C0D8" w:rsidR="00861AA3" w:rsidRPr="008D627B" w:rsidRDefault="001E2199" w:rsidP="008D627B">
      <w:pPr>
        <w:pStyle w:val="NormalWeb"/>
        <w:rPr>
          <w:color w:val="000000"/>
        </w:rPr>
      </w:pPr>
      <w:r>
        <w:rPr>
          <w:color w:val="000000"/>
        </w:rPr>
        <w:t>Compared to Kovach’s</w:t>
      </w:r>
      <w:r>
        <w:rPr>
          <w:rStyle w:val="apple-converted-space"/>
          <w:rFonts w:eastAsiaTheme="majorEastAsia"/>
          <w:color w:val="000000"/>
        </w:rPr>
        <w:t> </w:t>
      </w:r>
      <w:r>
        <w:rPr>
          <w:rStyle w:val="Emphasis"/>
          <w:rFonts w:eastAsiaTheme="majorEastAsia"/>
          <w:color w:val="000000"/>
        </w:rPr>
        <w:t>Indigenous Methodologies</w:t>
      </w:r>
      <w:r>
        <w:rPr>
          <w:color w:val="000000"/>
        </w:rPr>
        <w:t>, which offers more applied research examples, Smith’s work is broader in scope and deeply theoretical. Its strength lies in its foundational critique of colonial research paradigms, though its primary limitation is the absence of empirical validation. This work remains seminal in Indigenous studies, influencing research ethics and methodologies across multiple disciplines.</w:t>
      </w:r>
    </w:p>
    <w:sectPr w:rsidR="00861AA3" w:rsidRPr="008D627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5AED" w14:textId="77777777" w:rsidR="00131379" w:rsidRDefault="00131379" w:rsidP="008204A4">
      <w:r>
        <w:separator/>
      </w:r>
    </w:p>
  </w:endnote>
  <w:endnote w:type="continuationSeparator" w:id="0">
    <w:p w14:paraId="5FE877DE" w14:textId="77777777" w:rsidR="00131379" w:rsidRDefault="00131379" w:rsidP="0082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E0B3" w14:textId="77777777" w:rsidR="00131379" w:rsidRDefault="00131379" w:rsidP="008204A4">
      <w:r>
        <w:separator/>
      </w:r>
    </w:p>
  </w:footnote>
  <w:footnote w:type="continuationSeparator" w:id="0">
    <w:p w14:paraId="103212F8" w14:textId="77777777" w:rsidR="00131379" w:rsidRDefault="00131379" w:rsidP="0082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E3FB" w14:textId="7B5E107C" w:rsidR="008204A4" w:rsidRDefault="00976395">
    <w:pPr>
      <w:pStyle w:val="Header"/>
    </w:pPr>
    <w:r>
      <w:t xml:space="preserve">Annotated </w:t>
    </w:r>
    <w:proofErr w:type="gramStart"/>
    <w:r>
      <w:t>Bibliography :</w:t>
    </w:r>
    <w:proofErr w:type="gramEnd"/>
    <w:r>
      <w:t xml:space="preserve"> </w:t>
    </w:r>
    <w:r w:rsidR="008204A4">
      <w:t xml:space="preserve">Applying </w:t>
    </w:r>
    <w:r w:rsidR="00325381">
      <w:t>t</w:t>
    </w:r>
    <w:r w:rsidR="008204A4">
      <w:t>wo-eye seeing in higher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B69FE"/>
    <w:multiLevelType w:val="hybridMultilevel"/>
    <w:tmpl w:val="4F480B4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98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A4"/>
    <w:rsid w:val="00004D2F"/>
    <w:rsid w:val="00011594"/>
    <w:rsid w:val="00036259"/>
    <w:rsid w:val="00044F1C"/>
    <w:rsid w:val="00074849"/>
    <w:rsid w:val="00086F30"/>
    <w:rsid w:val="00130C76"/>
    <w:rsid w:val="00131379"/>
    <w:rsid w:val="001E2199"/>
    <w:rsid w:val="002A5F28"/>
    <w:rsid w:val="002C0BA2"/>
    <w:rsid w:val="00325381"/>
    <w:rsid w:val="00376D81"/>
    <w:rsid w:val="004724EC"/>
    <w:rsid w:val="00473327"/>
    <w:rsid w:val="00492B14"/>
    <w:rsid w:val="005326C9"/>
    <w:rsid w:val="005A61AB"/>
    <w:rsid w:val="005C3244"/>
    <w:rsid w:val="005F3052"/>
    <w:rsid w:val="00647EBC"/>
    <w:rsid w:val="00686EA8"/>
    <w:rsid w:val="00693C65"/>
    <w:rsid w:val="0070456A"/>
    <w:rsid w:val="007145B0"/>
    <w:rsid w:val="007F13E5"/>
    <w:rsid w:val="00804444"/>
    <w:rsid w:val="0081795B"/>
    <w:rsid w:val="008204A4"/>
    <w:rsid w:val="00861AA3"/>
    <w:rsid w:val="00876A40"/>
    <w:rsid w:val="008D627B"/>
    <w:rsid w:val="008F492D"/>
    <w:rsid w:val="00976395"/>
    <w:rsid w:val="00A47E9E"/>
    <w:rsid w:val="00B14B32"/>
    <w:rsid w:val="00B913B1"/>
    <w:rsid w:val="00C162C4"/>
    <w:rsid w:val="00D4628F"/>
    <w:rsid w:val="00F141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CC7B55"/>
  <w15:chartTrackingRefBased/>
  <w15:docId w15:val="{757154DE-8E9B-ED46-BFD9-E9878022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4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4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4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4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4A4"/>
    <w:rPr>
      <w:rFonts w:eastAsiaTheme="majorEastAsia" w:cstheme="majorBidi"/>
      <w:color w:val="272727" w:themeColor="text1" w:themeTint="D8"/>
    </w:rPr>
  </w:style>
  <w:style w:type="paragraph" w:styleId="Title">
    <w:name w:val="Title"/>
    <w:basedOn w:val="Normal"/>
    <w:next w:val="Normal"/>
    <w:link w:val="TitleChar"/>
    <w:uiPriority w:val="10"/>
    <w:qFormat/>
    <w:rsid w:val="008204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4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4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04A4"/>
    <w:rPr>
      <w:i/>
      <w:iCs/>
      <w:color w:val="404040" w:themeColor="text1" w:themeTint="BF"/>
    </w:rPr>
  </w:style>
  <w:style w:type="paragraph" w:styleId="ListParagraph">
    <w:name w:val="List Paragraph"/>
    <w:basedOn w:val="Normal"/>
    <w:uiPriority w:val="34"/>
    <w:qFormat/>
    <w:rsid w:val="008204A4"/>
    <w:pPr>
      <w:ind w:left="720"/>
      <w:contextualSpacing/>
    </w:pPr>
  </w:style>
  <w:style w:type="character" w:styleId="IntenseEmphasis">
    <w:name w:val="Intense Emphasis"/>
    <w:basedOn w:val="DefaultParagraphFont"/>
    <w:uiPriority w:val="21"/>
    <w:qFormat/>
    <w:rsid w:val="008204A4"/>
    <w:rPr>
      <w:i/>
      <w:iCs/>
      <w:color w:val="0F4761" w:themeColor="accent1" w:themeShade="BF"/>
    </w:rPr>
  </w:style>
  <w:style w:type="paragraph" w:styleId="IntenseQuote">
    <w:name w:val="Intense Quote"/>
    <w:basedOn w:val="Normal"/>
    <w:next w:val="Normal"/>
    <w:link w:val="IntenseQuoteChar"/>
    <w:uiPriority w:val="30"/>
    <w:qFormat/>
    <w:rsid w:val="00820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4A4"/>
    <w:rPr>
      <w:i/>
      <w:iCs/>
      <w:color w:val="0F4761" w:themeColor="accent1" w:themeShade="BF"/>
    </w:rPr>
  </w:style>
  <w:style w:type="character" w:styleId="IntenseReference">
    <w:name w:val="Intense Reference"/>
    <w:basedOn w:val="DefaultParagraphFont"/>
    <w:uiPriority w:val="32"/>
    <w:qFormat/>
    <w:rsid w:val="008204A4"/>
    <w:rPr>
      <w:b/>
      <w:bCs/>
      <w:smallCaps/>
      <w:color w:val="0F4761" w:themeColor="accent1" w:themeShade="BF"/>
      <w:spacing w:val="5"/>
    </w:rPr>
  </w:style>
  <w:style w:type="paragraph" w:styleId="NormalWeb">
    <w:name w:val="Normal (Web)"/>
    <w:basedOn w:val="Normal"/>
    <w:uiPriority w:val="99"/>
    <w:unhideWhenUsed/>
    <w:rsid w:val="008204A4"/>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204A4"/>
  </w:style>
  <w:style w:type="paragraph" w:styleId="Header">
    <w:name w:val="header"/>
    <w:basedOn w:val="Normal"/>
    <w:link w:val="HeaderChar"/>
    <w:uiPriority w:val="99"/>
    <w:unhideWhenUsed/>
    <w:rsid w:val="008204A4"/>
    <w:pPr>
      <w:tabs>
        <w:tab w:val="center" w:pos="4680"/>
        <w:tab w:val="right" w:pos="9360"/>
      </w:tabs>
    </w:pPr>
  </w:style>
  <w:style w:type="character" w:customStyle="1" w:styleId="HeaderChar">
    <w:name w:val="Header Char"/>
    <w:basedOn w:val="DefaultParagraphFont"/>
    <w:link w:val="Header"/>
    <w:uiPriority w:val="99"/>
    <w:rsid w:val="008204A4"/>
  </w:style>
  <w:style w:type="paragraph" w:styleId="Footer">
    <w:name w:val="footer"/>
    <w:basedOn w:val="Normal"/>
    <w:link w:val="FooterChar"/>
    <w:uiPriority w:val="99"/>
    <w:unhideWhenUsed/>
    <w:rsid w:val="008204A4"/>
    <w:pPr>
      <w:tabs>
        <w:tab w:val="center" w:pos="4680"/>
        <w:tab w:val="right" w:pos="9360"/>
      </w:tabs>
    </w:pPr>
  </w:style>
  <w:style w:type="character" w:customStyle="1" w:styleId="FooterChar">
    <w:name w:val="Footer Char"/>
    <w:basedOn w:val="DefaultParagraphFont"/>
    <w:link w:val="Footer"/>
    <w:uiPriority w:val="99"/>
    <w:rsid w:val="008204A4"/>
  </w:style>
  <w:style w:type="character" w:styleId="CommentReference">
    <w:name w:val="annotation reference"/>
    <w:basedOn w:val="DefaultParagraphFont"/>
    <w:uiPriority w:val="99"/>
    <w:semiHidden/>
    <w:unhideWhenUsed/>
    <w:rsid w:val="00647EBC"/>
    <w:rPr>
      <w:sz w:val="16"/>
      <w:szCs w:val="16"/>
    </w:rPr>
  </w:style>
  <w:style w:type="paragraph" w:styleId="CommentText">
    <w:name w:val="annotation text"/>
    <w:basedOn w:val="Normal"/>
    <w:link w:val="CommentTextChar"/>
    <w:uiPriority w:val="99"/>
    <w:semiHidden/>
    <w:unhideWhenUsed/>
    <w:rsid w:val="00647EBC"/>
    <w:rPr>
      <w:sz w:val="20"/>
      <w:szCs w:val="20"/>
    </w:rPr>
  </w:style>
  <w:style w:type="character" w:customStyle="1" w:styleId="CommentTextChar">
    <w:name w:val="Comment Text Char"/>
    <w:basedOn w:val="DefaultParagraphFont"/>
    <w:link w:val="CommentText"/>
    <w:uiPriority w:val="99"/>
    <w:semiHidden/>
    <w:rsid w:val="00647EBC"/>
    <w:rPr>
      <w:sz w:val="20"/>
      <w:szCs w:val="20"/>
    </w:rPr>
  </w:style>
  <w:style w:type="paragraph" w:styleId="CommentSubject">
    <w:name w:val="annotation subject"/>
    <w:basedOn w:val="CommentText"/>
    <w:next w:val="CommentText"/>
    <w:link w:val="CommentSubjectChar"/>
    <w:uiPriority w:val="99"/>
    <w:semiHidden/>
    <w:unhideWhenUsed/>
    <w:rsid w:val="00647EBC"/>
    <w:rPr>
      <w:b/>
      <w:bCs/>
    </w:rPr>
  </w:style>
  <w:style w:type="character" w:customStyle="1" w:styleId="CommentSubjectChar">
    <w:name w:val="Comment Subject Char"/>
    <w:basedOn w:val="CommentTextChar"/>
    <w:link w:val="CommentSubject"/>
    <w:uiPriority w:val="99"/>
    <w:semiHidden/>
    <w:rsid w:val="00647EBC"/>
    <w:rPr>
      <w:b/>
      <w:bCs/>
      <w:sz w:val="20"/>
      <w:szCs w:val="20"/>
    </w:rPr>
  </w:style>
  <w:style w:type="character" w:styleId="Emphasis">
    <w:name w:val="Emphasis"/>
    <w:basedOn w:val="DefaultParagraphFont"/>
    <w:uiPriority w:val="20"/>
    <w:qFormat/>
    <w:rsid w:val="00B91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428350368">
      <w:bodyDiv w:val="1"/>
      <w:marLeft w:val="0"/>
      <w:marRight w:val="0"/>
      <w:marTop w:val="0"/>
      <w:marBottom w:val="0"/>
      <w:divBdr>
        <w:top w:val="none" w:sz="0" w:space="0" w:color="auto"/>
        <w:left w:val="none" w:sz="0" w:space="0" w:color="auto"/>
        <w:bottom w:val="none" w:sz="0" w:space="0" w:color="auto"/>
        <w:right w:val="none" w:sz="0" w:space="0" w:color="auto"/>
      </w:divBdr>
      <w:divsChild>
        <w:div w:id="1460687141">
          <w:marLeft w:val="0"/>
          <w:marRight w:val="0"/>
          <w:marTop w:val="0"/>
          <w:marBottom w:val="0"/>
          <w:divBdr>
            <w:top w:val="none" w:sz="0" w:space="0" w:color="auto"/>
            <w:left w:val="none" w:sz="0" w:space="0" w:color="auto"/>
            <w:bottom w:val="none" w:sz="0" w:space="0" w:color="auto"/>
            <w:right w:val="none" w:sz="0" w:space="0" w:color="auto"/>
          </w:divBdr>
        </w:div>
      </w:divsChild>
    </w:div>
    <w:div w:id="494341182">
      <w:bodyDiv w:val="1"/>
      <w:marLeft w:val="0"/>
      <w:marRight w:val="0"/>
      <w:marTop w:val="0"/>
      <w:marBottom w:val="0"/>
      <w:divBdr>
        <w:top w:val="none" w:sz="0" w:space="0" w:color="auto"/>
        <w:left w:val="none" w:sz="0" w:space="0" w:color="auto"/>
        <w:bottom w:val="none" w:sz="0" w:space="0" w:color="auto"/>
        <w:right w:val="none" w:sz="0" w:space="0" w:color="auto"/>
      </w:divBdr>
    </w:div>
    <w:div w:id="497574810">
      <w:bodyDiv w:val="1"/>
      <w:marLeft w:val="0"/>
      <w:marRight w:val="0"/>
      <w:marTop w:val="0"/>
      <w:marBottom w:val="0"/>
      <w:divBdr>
        <w:top w:val="none" w:sz="0" w:space="0" w:color="auto"/>
        <w:left w:val="none" w:sz="0" w:space="0" w:color="auto"/>
        <w:bottom w:val="none" w:sz="0" w:space="0" w:color="auto"/>
        <w:right w:val="none" w:sz="0" w:space="0" w:color="auto"/>
      </w:divBdr>
    </w:div>
    <w:div w:id="908542250">
      <w:bodyDiv w:val="1"/>
      <w:marLeft w:val="0"/>
      <w:marRight w:val="0"/>
      <w:marTop w:val="0"/>
      <w:marBottom w:val="0"/>
      <w:divBdr>
        <w:top w:val="none" w:sz="0" w:space="0" w:color="auto"/>
        <w:left w:val="none" w:sz="0" w:space="0" w:color="auto"/>
        <w:bottom w:val="none" w:sz="0" w:space="0" w:color="auto"/>
        <w:right w:val="none" w:sz="0" w:space="0" w:color="auto"/>
      </w:divBdr>
    </w:div>
    <w:div w:id="989289233">
      <w:bodyDiv w:val="1"/>
      <w:marLeft w:val="0"/>
      <w:marRight w:val="0"/>
      <w:marTop w:val="0"/>
      <w:marBottom w:val="0"/>
      <w:divBdr>
        <w:top w:val="none" w:sz="0" w:space="0" w:color="auto"/>
        <w:left w:val="none" w:sz="0" w:space="0" w:color="auto"/>
        <w:bottom w:val="none" w:sz="0" w:space="0" w:color="auto"/>
        <w:right w:val="none" w:sz="0" w:space="0" w:color="auto"/>
      </w:divBdr>
    </w:div>
    <w:div w:id="1599949204">
      <w:bodyDiv w:val="1"/>
      <w:marLeft w:val="0"/>
      <w:marRight w:val="0"/>
      <w:marTop w:val="0"/>
      <w:marBottom w:val="0"/>
      <w:divBdr>
        <w:top w:val="none" w:sz="0" w:space="0" w:color="auto"/>
        <w:left w:val="none" w:sz="0" w:space="0" w:color="auto"/>
        <w:bottom w:val="none" w:sz="0" w:space="0" w:color="auto"/>
        <w:right w:val="none" w:sz="0" w:space="0" w:color="auto"/>
      </w:divBdr>
    </w:div>
    <w:div w:id="17063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Phan</dc:creator>
  <cp:keywords/>
  <dc:description/>
  <cp:lastModifiedBy>Thi Phan</cp:lastModifiedBy>
  <cp:revision>31</cp:revision>
  <dcterms:created xsi:type="dcterms:W3CDTF">2025-03-02T15:05:00Z</dcterms:created>
  <dcterms:modified xsi:type="dcterms:W3CDTF">2025-03-10T22:40:00Z</dcterms:modified>
</cp:coreProperties>
</file>